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87E71" w:rsidRDefault="00F968C1" w:rsidP="003B5A41">
      <w:pPr>
        <w:pStyle w:val="Title"/>
      </w:pPr>
      <w:r>
        <w:t>On Tx diversity</w:t>
      </w:r>
      <w:r w:rsidR="00551C1A">
        <w:t xml:space="preserve"> for EC-GSM-IoT</w:t>
      </w:r>
    </w:p>
    <w:p w:rsidR="003B5A41" w:rsidRDefault="00026AAB" w:rsidP="003B5A41">
      <w:pPr>
        <w:pStyle w:val="Heading1"/>
        <w:rPr>
          <w:lang w:val="sv-SE"/>
        </w:rPr>
      </w:pPr>
      <w:r>
        <w:rPr>
          <w:lang w:val="sv-SE"/>
        </w:rPr>
        <w:t>Introduction</w:t>
      </w:r>
    </w:p>
    <w:p w:rsidR="00294A5E" w:rsidRDefault="00F968C1" w:rsidP="00BA3910">
      <w:pPr>
        <w:pStyle w:val="BodyText"/>
      </w:pPr>
      <w:r>
        <w:t>In GSM networks today, the network may make use of hardware capabilities to provide different means to a</w:t>
      </w:r>
      <w:bookmarkStart w:id="0" w:name="_GoBack"/>
      <w:bookmarkEnd w:id="0"/>
      <w:r>
        <w:t>chieve Tx diversity.</w:t>
      </w:r>
      <w:r w:rsidR="006072F6">
        <w:t xml:space="preserve"> Depending on the approach used, the propagation channel </w:t>
      </w:r>
      <w:r w:rsidR="00DD0686">
        <w:t xml:space="preserve">experienced by the MS due to the Tx diversity </w:t>
      </w:r>
      <w:r w:rsidR="006072F6">
        <w:t>might vary between TDMA frames. For EC-GSM-IoT this might have impact to the receiver algorithm used by the MS and hence a TX_DIVERSITY parameter has been included in EC SI. However, the MS would not know the value of this parameter until it has acquired EC SI on the EC-BCCH. This contribution addressed if there are any implications due to this limitation</w:t>
      </w:r>
      <w:r w:rsidR="00551C1A">
        <w:t>.</w:t>
      </w:r>
      <w:r w:rsidR="00DD0686">
        <w:t xml:space="preserve"> Also, the benefits of knowing this parameter for logical channels used after EC SI acquisition is investigated.</w:t>
      </w:r>
    </w:p>
    <w:p w:rsidR="006072F6" w:rsidRDefault="00951113" w:rsidP="006072F6">
      <w:pPr>
        <w:pStyle w:val="Heading1"/>
      </w:pPr>
      <w:r>
        <w:t>Possible implications</w:t>
      </w:r>
    </w:p>
    <w:p w:rsidR="000E5A27" w:rsidRDefault="000E5A27" w:rsidP="000E5A27">
      <w:pPr>
        <w:pStyle w:val="Heading2"/>
      </w:pPr>
      <w:r>
        <w:t>General simulation assumptions</w:t>
      </w:r>
    </w:p>
    <w:p w:rsidR="000E5A27" w:rsidRDefault="000E5A27" w:rsidP="000E5A27">
      <w:pPr>
        <w:pStyle w:val="BodyText"/>
      </w:pPr>
      <w:r>
        <w:t>The approach taken by companies evaluating different EC-channel performance in the GERAN work has been that for a channel that is close to stationary, IQ accumulation is used. This means that two received bursts are accumulated on IQ level before performing the synchronization, channel estimation, equalization etc. Since no coherency can be assumed between TDMA frames, a random phase need to be estimated, which is then used to compensate the phase on one of the bursts, before burst combination. The random phase is typically estimated based on correlation. Correlation requires the two bursts to be identical for ideal performance, and this is not the case if Tx diversity is used (since the modulated signal will be convolved with two different radio propagation channel realizations). However, on the flip side Tx diversity increases the diversity in the transmission, and hence the chance of receiving a burst with high energy, possible to decode, is increased.</w:t>
      </w:r>
    </w:p>
    <w:p w:rsidR="000E5A27" w:rsidRDefault="000E5A27" w:rsidP="000E5A27">
      <w:pPr>
        <w:pStyle w:val="BodyText"/>
      </w:pPr>
      <w:r>
        <w:t>The different cases have been investigated by simulations. Three different cases have been investigated:</w:t>
      </w:r>
    </w:p>
    <w:p w:rsidR="000E5A27" w:rsidRDefault="000E5A27" w:rsidP="000E5A27">
      <w:pPr>
        <w:pStyle w:val="BodyText"/>
        <w:numPr>
          <w:ilvl w:val="0"/>
          <w:numId w:val="20"/>
        </w:numPr>
      </w:pPr>
      <w:r>
        <w:t>1.2</w:t>
      </w:r>
      <w:r w:rsidR="00F02658">
        <w:t xml:space="preserve"> km/h </w:t>
      </w:r>
      <w:r>
        <w:t>n</w:t>
      </w:r>
      <w:r w:rsidR="00F02658">
        <w:t xml:space="preserve">o </w:t>
      </w:r>
      <w:r>
        <w:t>FH</w:t>
      </w:r>
    </w:p>
    <w:p w:rsidR="000E5A27" w:rsidRDefault="000E5A27" w:rsidP="000E5A27">
      <w:pPr>
        <w:pStyle w:val="BodyText"/>
        <w:numPr>
          <w:ilvl w:val="0"/>
          <w:numId w:val="20"/>
        </w:numPr>
      </w:pPr>
      <w:r>
        <w:t>1.2</w:t>
      </w:r>
      <w:r w:rsidR="00F02658">
        <w:t xml:space="preserve"> km/h </w:t>
      </w:r>
      <w:r>
        <w:t>i</w:t>
      </w:r>
      <w:r w:rsidR="00F02658">
        <w:t xml:space="preserve">deal </w:t>
      </w:r>
      <w:r>
        <w:t>FH</w:t>
      </w:r>
    </w:p>
    <w:p w:rsidR="000E5A27" w:rsidRDefault="000E5A27" w:rsidP="000E5A27">
      <w:pPr>
        <w:pStyle w:val="BodyText"/>
        <w:numPr>
          <w:ilvl w:val="0"/>
          <w:numId w:val="20"/>
        </w:numPr>
      </w:pPr>
      <w:r>
        <w:t xml:space="preserve">1.2 </w:t>
      </w:r>
      <w:r w:rsidR="00F02658">
        <w:t xml:space="preserve">km/h </w:t>
      </w:r>
      <w:r>
        <w:t>cyclic frequency hopping over 2 frequencies</w:t>
      </w:r>
    </w:p>
    <w:p w:rsidR="000E5A27" w:rsidRDefault="000E5A27" w:rsidP="000E5A27">
      <w:r>
        <w:t>The latter condition is to model the more typical performance one could expect from the most commonly used Tx diversity scheme that would set TX_DIVERSITY=1, i.e. antenna hopping</w:t>
      </w:r>
      <w:r w:rsidR="003325C4">
        <w:t xml:space="preserve"> (with 2 Tx antennas)</w:t>
      </w:r>
      <w:r>
        <w:t>. In this case, two different propagation channels would be experienced by the MS, typically in each even TDMA frame one propagation</w:t>
      </w:r>
      <w:r w:rsidR="002335D7">
        <w:t xml:space="preserve"> channel</w:t>
      </w:r>
      <w:r>
        <w:t>, and in each odd another propagation</w:t>
      </w:r>
      <w:r w:rsidR="002335D7">
        <w:t xml:space="preserve"> channel</w:t>
      </w:r>
      <w:r>
        <w:t>.</w:t>
      </w:r>
    </w:p>
    <w:p w:rsidR="00F02658" w:rsidRPr="000E5A27" w:rsidRDefault="00F02658" w:rsidP="000E5A27">
      <w:r>
        <w:t>Both Typical Urban (TU) and Hilly Terrain (HT) propagation channels have been investigated in most conditions to test two extreme cases of channel profiles, which might have an impact on the correlation performance.</w:t>
      </w:r>
    </w:p>
    <w:p w:rsidR="00951113" w:rsidRDefault="00951113" w:rsidP="00951113">
      <w:pPr>
        <w:pStyle w:val="Heading2"/>
      </w:pPr>
      <w:r>
        <w:lastRenderedPageBreak/>
        <w:t>EC-SCH</w:t>
      </w:r>
    </w:p>
    <w:p w:rsidR="00951113" w:rsidRDefault="00881DF8" w:rsidP="00951113">
      <w:pPr>
        <w:pStyle w:val="BodyText"/>
      </w:pPr>
      <w:r>
        <w:t xml:space="preserve">The EC-SCH is repeated 28 times over 28 TDMA frames, see B in </w:t>
      </w:r>
      <w:r>
        <w:fldChar w:fldCharType="begin"/>
      </w:r>
      <w:r>
        <w:instrText xml:space="preserve"> REF _Ref450057513 \h </w:instrText>
      </w:r>
      <w:r>
        <w:fldChar w:fldCharType="separate"/>
      </w:r>
      <w:r>
        <w:t xml:space="preserve">Figure </w:t>
      </w:r>
      <w:r>
        <w:rPr>
          <w:noProof/>
        </w:rPr>
        <w:t>1</w:t>
      </w:r>
      <w:r>
        <w:fldChar w:fldCharType="end"/>
      </w:r>
      <w:r>
        <w:t>.</w:t>
      </w:r>
    </w:p>
    <w:p w:rsidR="00881DF8" w:rsidRDefault="00881DF8" w:rsidP="00951113">
      <w:pPr>
        <w:pStyle w:val="BodyText"/>
      </w:pPr>
      <w:r>
        <w:object w:dxaOrig="1359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34.8pt" o:ole="">
            <v:imagedata r:id="rId9" o:title=""/>
          </v:shape>
          <o:OLEObject Type="Embed" ProgID="Visio.Drawing.15" ShapeID="_x0000_i1025" DrawAspect="Content" ObjectID="_1525035850" r:id="rId10"/>
        </w:object>
      </w:r>
    </w:p>
    <w:p w:rsidR="00881DF8" w:rsidRDefault="00881DF8" w:rsidP="00881DF8">
      <w:pPr>
        <w:pStyle w:val="Caption"/>
      </w:pPr>
      <w:bookmarkStart w:id="1" w:name="_Ref450057513"/>
      <w:r>
        <w:t xml:space="preserve">Figure </w:t>
      </w:r>
      <w:r w:rsidR="0090554B">
        <w:fldChar w:fldCharType="begin"/>
      </w:r>
      <w:r w:rsidR="0090554B">
        <w:instrText xml:space="preserve"> SEQ Figure \* ARABIC </w:instrText>
      </w:r>
      <w:r w:rsidR="0090554B">
        <w:fldChar w:fldCharType="separate"/>
      </w:r>
      <w:r w:rsidR="004F41B6">
        <w:rPr>
          <w:noProof/>
        </w:rPr>
        <w:t>1</w:t>
      </w:r>
      <w:r w:rsidR="0090554B">
        <w:rPr>
          <w:noProof/>
        </w:rPr>
        <w:fldChar w:fldCharType="end"/>
      </w:r>
      <w:bookmarkEnd w:id="1"/>
      <w:r>
        <w:t>: EC-SCH mapping</w:t>
      </w:r>
    </w:p>
    <w:p w:rsidR="001E65CC" w:rsidRDefault="003325C4" w:rsidP="001E65CC">
      <w:pPr>
        <w:pStyle w:val="BodyText"/>
      </w:pPr>
      <w:r>
        <w:fldChar w:fldCharType="begin"/>
      </w:r>
      <w:r>
        <w:instrText xml:space="preserve"> REF _Ref450057804 \h </w:instrText>
      </w:r>
      <w:r>
        <w:fldChar w:fldCharType="separate"/>
      </w:r>
      <w:r>
        <w:t xml:space="preserve">Figure </w:t>
      </w:r>
      <w:r>
        <w:rPr>
          <w:noProof/>
        </w:rPr>
        <w:t>2</w:t>
      </w:r>
      <w:r>
        <w:fldChar w:fldCharType="end"/>
      </w:r>
      <w:r>
        <w:t xml:space="preserve"> </w:t>
      </w:r>
      <w:r w:rsidR="00EB390E">
        <w:t xml:space="preserve">the </w:t>
      </w:r>
      <w:r>
        <w:t>EC-SCH performance has been simulated using soft combination between 51 multiframes since different cyclic shifts are used in each 51 multiframe. However, within the 51 multiframe, IQ accumulation is always used, irrespective of the use of TX diversity or not</w:t>
      </w:r>
    </w:p>
    <w:p w:rsidR="000E5A27" w:rsidRDefault="000E5A27" w:rsidP="001E65CC">
      <w:pPr>
        <w:pStyle w:val="BodyText"/>
      </w:pPr>
      <w:r>
        <w:t xml:space="preserve">The performance </w:t>
      </w:r>
      <w:r w:rsidR="00EB390E">
        <w:t>shows that in a scenario of Tx-diversity from the network, the MS can safely use IQ combination between the 7 TDMA frames within each 51 multiframe and still achieve as good performance as if TX-diversity is not used (‘no FH’).</w:t>
      </w:r>
    </w:p>
    <w:p w:rsidR="00F60888" w:rsidRDefault="00EB390E" w:rsidP="000E5A27">
      <w:pPr>
        <w:pStyle w:val="BodyText"/>
        <w:jc w:val="center"/>
      </w:pPr>
      <w:r>
        <w:rPr>
          <w:noProof/>
        </w:rPr>
        <w:drawing>
          <wp:inline distT="0" distB="0" distL="0" distR="0">
            <wp:extent cx="4476903" cy="2985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SCH_TX_div.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82951" cy="2989719"/>
                    </a:xfrm>
                    <a:prstGeom prst="rect">
                      <a:avLst/>
                    </a:prstGeom>
                  </pic:spPr>
                </pic:pic>
              </a:graphicData>
            </a:graphic>
          </wp:inline>
        </w:drawing>
      </w:r>
    </w:p>
    <w:p w:rsidR="001E65CC" w:rsidRPr="00881DF8" w:rsidRDefault="001E65CC" w:rsidP="001E65CC">
      <w:pPr>
        <w:pStyle w:val="Caption"/>
      </w:pPr>
      <w:bookmarkStart w:id="2" w:name="_Ref450057804"/>
      <w:r>
        <w:t xml:space="preserve">Figure </w:t>
      </w:r>
      <w:r w:rsidR="0090554B">
        <w:fldChar w:fldCharType="begin"/>
      </w:r>
      <w:r w:rsidR="0090554B">
        <w:instrText xml:space="preserve"> SEQ Figure \* ARABIC </w:instrText>
      </w:r>
      <w:r w:rsidR="0090554B">
        <w:fldChar w:fldCharType="separate"/>
      </w:r>
      <w:r w:rsidR="004F41B6">
        <w:rPr>
          <w:noProof/>
        </w:rPr>
        <w:t>2</w:t>
      </w:r>
      <w:r w:rsidR="0090554B">
        <w:rPr>
          <w:noProof/>
        </w:rPr>
        <w:fldChar w:fldCharType="end"/>
      </w:r>
      <w:bookmarkEnd w:id="2"/>
      <w:r>
        <w:t xml:space="preserve">: </w:t>
      </w:r>
      <w:r w:rsidR="00EB390E">
        <w:t>EC-SCH performance in different channel propagation conditions</w:t>
      </w:r>
    </w:p>
    <w:p w:rsidR="00951113" w:rsidRDefault="00951113" w:rsidP="00951113">
      <w:pPr>
        <w:pStyle w:val="Heading2"/>
      </w:pPr>
      <w:r>
        <w:t>EC-BCCH</w:t>
      </w:r>
    </w:p>
    <w:p w:rsidR="00EB390E" w:rsidRDefault="00EB390E" w:rsidP="00EB390E">
      <w:pPr>
        <w:pStyle w:val="BodyText"/>
      </w:pPr>
      <w:r>
        <w:t>The next logical channel to be decoded by the MS where the actual TX_DIVERSITY parameter can be read is the EC-BCCH.</w:t>
      </w:r>
    </w:p>
    <w:p w:rsidR="00EB390E" w:rsidRDefault="00275B67" w:rsidP="00EB390E">
      <w:pPr>
        <w:pStyle w:val="BodyText"/>
      </w:pPr>
      <w:r>
        <w:lastRenderedPageBreak/>
        <w:tab/>
      </w:r>
      <w:r w:rsidR="00D35AB4">
        <w:rPr>
          <w:noProof/>
        </w:rPr>
        <w:drawing>
          <wp:inline distT="0" distB="0" distL="0" distR="0">
            <wp:extent cx="4480374" cy="2988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BCCH_perf.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4F41B6" w:rsidRDefault="004F41B6" w:rsidP="004F41B6">
      <w:pPr>
        <w:pStyle w:val="Caption"/>
      </w:pPr>
      <w:r>
        <w:t xml:space="preserve">Figure </w:t>
      </w:r>
      <w:r w:rsidR="0090554B">
        <w:fldChar w:fldCharType="begin"/>
      </w:r>
      <w:r w:rsidR="0090554B">
        <w:instrText xml:space="preserve"> SEQ Figure \* ARABIC </w:instrText>
      </w:r>
      <w:r w:rsidR="0090554B">
        <w:fldChar w:fldCharType="separate"/>
      </w:r>
      <w:r>
        <w:rPr>
          <w:noProof/>
        </w:rPr>
        <w:t>3</w:t>
      </w:r>
      <w:r w:rsidR="0090554B">
        <w:rPr>
          <w:noProof/>
        </w:rPr>
        <w:fldChar w:fldCharType="end"/>
      </w:r>
      <w:r>
        <w:t>: EC-BCCH performance in different channel propagation conditions</w:t>
      </w:r>
    </w:p>
    <w:p w:rsidR="00CC2FB6" w:rsidRPr="00CC2FB6" w:rsidRDefault="00CC2FB6" w:rsidP="00CC2FB6">
      <w:r>
        <w:t>As can be seen, the performance is improved in both cases where TX diversity is assumed to be used (‘TU ideal’ and ‘TU, cyclic’), but when the MS still accumulates all bursts received.</w:t>
      </w:r>
    </w:p>
    <w:p w:rsidR="00951113" w:rsidRDefault="00951113" w:rsidP="00951113">
      <w:pPr>
        <w:pStyle w:val="Heading2"/>
      </w:pPr>
      <w:r>
        <w:t>Signal level measurements</w:t>
      </w:r>
    </w:p>
    <w:p w:rsidR="00CC2FB6" w:rsidRDefault="00CC2FB6" w:rsidP="00CC2FB6">
      <w:pPr>
        <w:pStyle w:val="BodyText"/>
      </w:pPr>
      <w:r>
        <w:t>Another activity performed by the MS when performing cell selection is the measurement of RLA_EC to estimate the signal level of different cells to select the most suitable one to camp on.</w:t>
      </w:r>
    </w:p>
    <w:p w:rsidR="00CC2FB6" w:rsidRDefault="00CC2FB6" w:rsidP="00CC2FB6">
      <w:pPr>
        <w:pStyle w:val="BodyText"/>
      </w:pPr>
      <w:r>
        <w:t>Also here there could be problems in the estimation of the true signal strength in case Tx diversity is used, if the MS is not aware of it.</w:t>
      </w:r>
    </w:p>
    <w:p w:rsidR="00CC2FB6" w:rsidRPr="00CC2FB6" w:rsidRDefault="00CC2FB6" w:rsidP="00CC2FB6">
      <w:pPr>
        <w:pStyle w:val="BodyText"/>
      </w:pPr>
      <w:r>
        <w:t xml:space="preserve">The average difference between the true signal level and the estimated signal level is shown in </w:t>
      </w:r>
      <w:r>
        <w:fldChar w:fldCharType="begin"/>
      </w:r>
      <w:r>
        <w:instrText xml:space="preserve"> REF _Ref450467778 \h </w:instrText>
      </w:r>
      <w:r>
        <w:fldChar w:fldCharType="separate"/>
      </w:r>
      <w:r>
        <w:t xml:space="preserve">Figure </w:t>
      </w:r>
      <w:r>
        <w:rPr>
          <w:noProof/>
        </w:rPr>
        <w:t>4</w:t>
      </w:r>
      <w:r>
        <w:fldChar w:fldCharType="end"/>
      </w:r>
      <w:r>
        <w:t xml:space="preserve">. In these simulations the signal estimate is done based on 7 EC-SCH bursts by correlation to reach a signal estimate. For the true signal level reference the signal level is linearly averaged over the 7 bursts received. This is referred to as the </w:t>
      </w:r>
      <w:r w:rsidR="00166ECF">
        <w:t xml:space="preserve">signal level estimation “per sample”. This is the same terminology used in earlier investigations in </w:t>
      </w:r>
      <w:r w:rsidR="00166ECF">
        <w:fldChar w:fldCharType="begin"/>
      </w:r>
      <w:r w:rsidR="00166ECF">
        <w:instrText xml:space="preserve"> REF _Ref450468134 \r \h </w:instrText>
      </w:r>
      <w:r w:rsidR="00166ECF">
        <w:fldChar w:fldCharType="separate"/>
      </w:r>
      <w:r w:rsidR="00166ECF">
        <w:t>[1]</w:t>
      </w:r>
      <w:r w:rsidR="00166ECF">
        <w:fldChar w:fldCharType="end"/>
      </w:r>
      <w:r w:rsidR="00166ECF">
        <w:t xml:space="preserve">. More details on the estimation procedure and previous results can also be found in </w:t>
      </w:r>
      <w:r w:rsidR="00166ECF">
        <w:fldChar w:fldCharType="begin"/>
      </w:r>
      <w:r w:rsidR="00166ECF">
        <w:instrText xml:space="preserve"> REF _Ref450468134 \r \h </w:instrText>
      </w:r>
      <w:r w:rsidR="00166ECF">
        <w:fldChar w:fldCharType="separate"/>
      </w:r>
      <w:r w:rsidR="00166ECF">
        <w:t>[1]</w:t>
      </w:r>
      <w:r w:rsidR="00166ECF">
        <w:fldChar w:fldCharType="end"/>
      </w:r>
      <w:r w:rsidR="00166ECF">
        <w:t>.</w:t>
      </w:r>
    </w:p>
    <w:p w:rsidR="00DA2CE6" w:rsidRDefault="00D35AB4" w:rsidP="00D35AB4">
      <w:pPr>
        <w:pStyle w:val="BodyText"/>
        <w:jc w:val="center"/>
      </w:pPr>
      <w:r>
        <w:rPr>
          <w:noProof/>
        </w:rPr>
        <w:lastRenderedPageBreak/>
        <w:drawing>
          <wp:inline distT="0" distB="0" distL="0" distR="0" wp14:anchorId="3A7AE7F1" wp14:editId="1820CD56">
            <wp:extent cx="4480375" cy="29880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av_mo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80375" cy="2988000"/>
                    </a:xfrm>
                    <a:prstGeom prst="rect">
                      <a:avLst/>
                    </a:prstGeom>
                  </pic:spPr>
                </pic:pic>
              </a:graphicData>
            </a:graphic>
          </wp:inline>
        </w:drawing>
      </w:r>
    </w:p>
    <w:p w:rsidR="00DA2CE6" w:rsidRDefault="00DA2CE6" w:rsidP="00DA2CE6">
      <w:pPr>
        <w:pStyle w:val="Caption"/>
      </w:pPr>
      <w:bookmarkStart w:id="3" w:name="_Ref450467778"/>
      <w:r>
        <w:t xml:space="preserve">Figure </w:t>
      </w:r>
      <w:r w:rsidR="0090554B">
        <w:fldChar w:fldCharType="begin"/>
      </w:r>
      <w:r w:rsidR="0090554B">
        <w:instrText xml:space="preserve"> SEQ Figure \* ARABIC </w:instrText>
      </w:r>
      <w:r w:rsidR="0090554B">
        <w:fldChar w:fldCharType="separate"/>
      </w:r>
      <w:r w:rsidR="004F41B6">
        <w:rPr>
          <w:noProof/>
        </w:rPr>
        <w:t>4</w:t>
      </w:r>
      <w:r w:rsidR="0090554B">
        <w:rPr>
          <w:noProof/>
        </w:rPr>
        <w:fldChar w:fldCharType="end"/>
      </w:r>
      <w:bookmarkEnd w:id="3"/>
      <w:r>
        <w:t xml:space="preserve">: </w:t>
      </w:r>
      <w:r w:rsidR="00F02658">
        <w:t>Mean signal level estimation error per sample</w:t>
      </w:r>
    </w:p>
    <w:p w:rsidR="00F02658" w:rsidRPr="00F02658" w:rsidRDefault="00F02658" w:rsidP="00593A1D">
      <w:pPr>
        <w:pStyle w:val="BodyText"/>
      </w:pPr>
      <w:r>
        <w:t>As can be seen (and as expected), the signal strength is under-estimated in the case of ideal FH and cyclic FH since the correlation will, even in ideal radio conditions, be sub-optimum. The under-estimation is in the order of 0-2 dB. At more extreme coverage conditions, the diversity estimation actually outperforms the estimation without diversity (‘no FH’).</w:t>
      </w:r>
    </w:p>
    <w:p w:rsidR="00D35AB4" w:rsidRPr="00D35AB4" w:rsidRDefault="00D35AB4" w:rsidP="00D35AB4">
      <w:pPr>
        <w:jc w:val="center"/>
      </w:pPr>
      <w:r>
        <w:rPr>
          <w:noProof/>
        </w:rPr>
        <w:drawing>
          <wp:inline distT="0" distB="0" distL="0" distR="0" wp14:anchorId="3D722C57" wp14:editId="601BE61D">
            <wp:extent cx="4480374" cy="29880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std_mom.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DA2CE6" w:rsidRDefault="00DA2CE6" w:rsidP="00DA2CE6">
      <w:pPr>
        <w:pStyle w:val="Caption"/>
      </w:pPr>
      <w:bookmarkStart w:id="4" w:name="_Ref450468397"/>
      <w:r>
        <w:t xml:space="preserve">Figure </w:t>
      </w:r>
      <w:r w:rsidR="0090554B">
        <w:fldChar w:fldCharType="begin"/>
      </w:r>
      <w:r w:rsidR="0090554B">
        <w:instrText xml:space="preserve"> SEQ Figure \* ARABIC </w:instrText>
      </w:r>
      <w:r w:rsidR="0090554B">
        <w:fldChar w:fldCharType="separate"/>
      </w:r>
      <w:r w:rsidR="004F41B6">
        <w:rPr>
          <w:noProof/>
        </w:rPr>
        <w:t>5</w:t>
      </w:r>
      <w:r w:rsidR="0090554B">
        <w:rPr>
          <w:noProof/>
        </w:rPr>
        <w:fldChar w:fldCharType="end"/>
      </w:r>
      <w:bookmarkEnd w:id="4"/>
      <w:r>
        <w:t xml:space="preserve">: </w:t>
      </w:r>
      <w:r w:rsidR="00F02658">
        <w:t>Standard deviation per sample</w:t>
      </w:r>
    </w:p>
    <w:p w:rsidR="00F02658" w:rsidRDefault="00F02658" w:rsidP="00593A1D">
      <w:pPr>
        <w:pStyle w:val="BodyText"/>
      </w:pPr>
      <w:r>
        <w:t xml:space="preserve">Looking at the standard deviation (see </w:t>
      </w:r>
      <w:r>
        <w:fldChar w:fldCharType="begin"/>
      </w:r>
      <w:r>
        <w:instrText xml:space="preserve"> REF _Ref450468397 \h </w:instrText>
      </w:r>
      <w:r w:rsidR="00593A1D">
        <w:instrText xml:space="preserve"> \* MERGEFORMAT </w:instrText>
      </w:r>
      <w:r>
        <w:fldChar w:fldCharType="separate"/>
      </w:r>
      <w:r>
        <w:t xml:space="preserve">Figure </w:t>
      </w:r>
      <w:r>
        <w:rPr>
          <w:noProof/>
        </w:rPr>
        <w:t>5</w:t>
      </w:r>
      <w:r>
        <w:fldChar w:fldCharType="end"/>
      </w:r>
      <w:r>
        <w:t xml:space="preserve">) of the estimate, the range of ‘no FH’ is roughly 0-2 dB, while for Tx diversity (‘ideal FH’ and ‘cyclic FH’) the range is around 1-2 dB. Furthermore, the standard deviation does not converge to 0 dB standard deviation in case of Tx diversity in good radio condition, which again reflects that sub-optimum performance </w:t>
      </w:r>
      <w:r>
        <w:lastRenderedPageBreak/>
        <w:t>of using a correlation based estimate when the signals being correlated have propagated through different radio channels.</w:t>
      </w:r>
    </w:p>
    <w:p w:rsidR="003B0625" w:rsidRPr="00F02658" w:rsidRDefault="003B0625" w:rsidP="00593A1D">
      <w:pPr>
        <w:pStyle w:val="BodyText"/>
      </w:pPr>
      <w:r>
        <w:t>What is more important however for system performance is the estimate over time, which is used to rank different cells</w:t>
      </w:r>
      <w:r w:rsidR="002A5FEC">
        <w:t>, and estimate the coverage class</w:t>
      </w:r>
      <w:r>
        <w:t>.</w:t>
      </w:r>
      <w:r w:rsidR="002A5FEC">
        <w:t xml:space="preserve"> This is in the specification referred to as RLA_EC and is a sample of </w:t>
      </w:r>
      <w:r w:rsidR="009140A9">
        <w:t>[</w:t>
      </w:r>
      <w:r w:rsidR="002A5FEC">
        <w:t>5</w:t>
      </w:r>
      <w:r w:rsidR="009140A9">
        <w:t>]</w:t>
      </w:r>
      <w:r w:rsidR="002A5FEC">
        <w:t xml:space="preserve"> samples taken over at least </w:t>
      </w:r>
      <w:r w:rsidR="009140A9">
        <w:t>[</w:t>
      </w:r>
      <w:r w:rsidR="002A5FEC">
        <w:t>5</w:t>
      </w:r>
      <w:r w:rsidR="009140A9">
        <w:t>]</w:t>
      </w:r>
      <w:r w:rsidR="002A5FEC">
        <w:t xml:space="preserve"> seconds.</w:t>
      </w:r>
      <w:r w:rsidR="009140A9">
        <w:t xml:space="preserve"> In the figure below, the </w:t>
      </w:r>
      <w:r w:rsidR="00593A1D">
        <w:t xml:space="preserve">different </w:t>
      </w:r>
      <w:r w:rsidR="009140A9">
        <w:t xml:space="preserve">samples </w:t>
      </w:r>
      <w:r w:rsidR="00593A1D">
        <w:t>are taken from uncorrelated radio propagation channels, which is well justified by 1 second exceeding the coherence time of a 1.2 km/h channel.</w:t>
      </w:r>
      <w:r w:rsidR="000F58A6">
        <w:t xml:space="preserve"> The metric is referred to as being taken “over samples”.</w:t>
      </w:r>
    </w:p>
    <w:p w:rsidR="00D35AB4" w:rsidRPr="00D35AB4" w:rsidRDefault="00D35AB4" w:rsidP="00D35AB4">
      <w:pPr>
        <w:jc w:val="center"/>
      </w:pPr>
      <w:r>
        <w:rPr>
          <w:noProof/>
        </w:rPr>
        <w:drawing>
          <wp:inline distT="0" distB="0" distL="0" distR="0" wp14:anchorId="2957BE94" wp14:editId="2636F7A7">
            <wp:extent cx="4480374" cy="29880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mean_over_sam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DA2CE6" w:rsidRDefault="00DA2CE6" w:rsidP="00DA2CE6">
      <w:pPr>
        <w:pStyle w:val="Caption"/>
      </w:pPr>
      <w:r>
        <w:t xml:space="preserve">Figure </w:t>
      </w:r>
      <w:r w:rsidR="0090554B">
        <w:fldChar w:fldCharType="begin"/>
      </w:r>
      <w:r w:rsidR="0090554B">
        <w:instrText xml:space="preserve"> SEQ Figure \* ARABIC </w:instrText>
      </w:r>
      <w:r w:rsidR="0090554B">
        <w:fldChar w:fldCharType="separate"/>
      </w:r>
      <w:r w:rsidR="004F41B6">
        <w:rPr>
          <w:noProof/>
        </w:rPr>
        <w:t>6</w:t>
      </w:r>
      <w:r w:rsidR="0090554B">
        <w:rPr>
          <w:noProof/>
        </w:rPr>
        <w:fldChar w:fldCharType="end"/>
      </w:r>
      <w:r>
        <w:t xml:space="preserve">: </w:t>
      </w:r>
      <w:r w:rsidR="00593A1D">
        <w:t>Mean signal level estimation error over samples</w:t>
      </w:r>
    </w:p>
    <w:p w:rsidR="000F58A6" w:rsidRPr="000F58A6" w:rsidRDefault="000F58A6" w:rsidP="007C6663">
      <w:pPr>
        <w:pStyle w:val="BodyText"/>
      </w:pPr>
      <w:r>
        <w:t xml:space="preserve">As can be seen, the average error is underestimated irrespective of the propagation channel experienced. </w:t>
      </w:r>
      <w:r w:rsidR="007C6663">
        <w:t>An obvious correction could be done to compensate for this underestimation where for example 1 dB is added to the estimate in which case the ’no FH’ ends up at roughly 0.5 dB overestimation, ‘ideal FH’ at -1 dB underestimation, and ‘cyclic FH’ at -1.5 dB underestimation.</w:t>
      </w:r>
      <w:r>
        <w:t xml:space="preserve"> </w:t>
      </w:r>
    </w:p>
    <w:p w:rsidR="00D35AB4" w:rsidRPr="00D35AB4" w:rsidRDefault="00D35AB4" w:rsidP="00D35AB4">
      <w:pPr>
        <w:jc w:val="center"/>
      </w:pPr>
      <w:r>
        <w:rPr>
          <w:noProof/>
        </w:rPr>
        <w:lastRenderedPageBreak/>
        <w:drawing>
          <wp:inline distT="0" distB="0" distL="0" distR="0" wp14:anchorId="25C78AE0" wp14:editId="7327789B">
            <wp:extent cx="4480374" cy="2988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SS_calc_std_over_sam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DA2CE6" w:rsidRDefault="00DA2CE6" w:rsidP="00DA2CE6">
      <w:pPr>
        <w:pStyle w:val="Caption"/>
      </w:pPr>
      <w:r>
        <w:t xml:space="preserve">Figure </w:t>
      </w:r>
      <w:r w:rsidR="0090554B">
        <w:fldChar w:fldCharType="begin"/>
      </w:r>
      <w:r w:rsidR="0090554B">
        <w:instrText xml:space="preserve"> SEQ Figure \* ARABIC </w:instrText>
      </w:r>
      <w:r w:rsidR="0090554B">
        <w:fldChar w:fldCharType="separate"/>
      </w:r>
      <w:r w:rsidR="004F41B6">
        <w:rPr>
          <w:noProof/>
        </w:rPr>
        <w:t>7</w:t>
      </w:r>
      <w:r w:rsidR="0090554B">
        <w:rPr>
          <w:noProof/>
        </w:rPr>
        <w:fldChar w:fldCharType="end"/>
      </w:r>
      <w:r>
        <w:t xml:space="preserve">: </w:t>
      </w:r>
      <w:r w:rsidR="00593A1D">
        <w:t>Standard deviation over samples</w:t>
      </w:r>
    </w:p>
    <w:p w:rsidR="007C6663" w:rsidRDefault="00D76ED8" w:rsidP="00D76ED8">
      <w:pPr>
        <w:pStyle w:val="BodyText"/>
      </w:pPr>
      <w:r>
        <w:t xml:space="preserve">Looking at the standard deviation of the estimate it is seen that the diversity introduced both by the ‘cyclic FH’ and ‘ideal FH’ seems to </w:t>
      </w:r>
      <w:r w:rsidR="006512B9">
        <w:t xml:space="preserve">more than </w:t>
      </w:r>
      <w:r>
        <w:t>compensate for the sub-optimum correlation</w:t>
      </w:r>
      <w:r w:rsidR="006512B9">
        <w:t xml:space="preserve"> in the signal level estimation</w:t>
      </w:r>
      <w:r>
        <w:t>.</w:t>
      </w:r>
    </w:p>
    <w:p w:rsidR="00030F64" w:rsidRPr="007C6663" w:rsidRDefault="00030F64" w:rsidP="00D76ED8">
      <w:pPr>
        <w:pStyle w:val="BodyText"/>
      </w:pPr>
      <w:r>
        <w:t>Analyzing all results above it is concluded that Tx diversity used by the network will have an effect of the MS ability to estimate the signal level of a specific cell. For most cells, the signal strength would be under-estimated, but the estimation will also be varying less (smaller standard deviation).</w:t>
      </w:r>
      <w:r w:rsidR="00D0416E">
        <w:t xml:space="preserve"> If a cell and its surrounding cells would use Tx diversity the impact on cell (re)selection would be less since cells are ranked, taking all estimates into account, and the ranking would be the same if for example all cells are reduced by X dB in their estimates. However, the path loss criterion of the cell (C1) could possibly be modified to take the knowledge of the MS under-estimating the signal strength into account by adjusting the RXLEV_ACCESS_MIN parameter.</w:t>
      </w:r>
    </w:p>
    <w:p w:rsidR="004F41B6" w:rsidRDefault="004F41B6" w:rsidP="004F41B6">
      <w:pPr>
        <w:pStyle w:val="Heading2"/>
      </w:pPr>
      <w:r>
        <w:t>Performance of channels after acquisition of TX_DIVERSITY flag</w:t>
      </w:r>
    </w:p>
    <w:p w:rsidR="00C81C32" w:rsidRDefault="00C81C32" w:rsidP="00C81C32">
      <w:pPr>
        <w:pStyle w:val="Heading3"/>
      </w:pPr>
      <w:r>
        <w:t>General</w:t>
      </w:r>
    </w:p>
    <w:p w:rsidR="00C81C32" w:rsidRDefault="003D6347" w:rsidP="00C81C32">
      <w:pPr>
        <w:pStyle w:val="BodyText"/>
        <w:rPr>
          <w:lang w:eastAsia="ko-KR"/>
        </w:rPr>
      </w:pPr>
      <w:r>
        <w:rPr>
          <w:lang w:eastAsia="ko-KR"/>
        </w:rPr>
        <w:t xml:space="preserve">After acquiring the TX_DIVERSTIY flag the </w:t>
      </w:r>
      <w:r w:rsidR="008F77D9">
        <w:rPr>
          <w:lang w:eastAsia="ko-KR"/>
        </w:rPr>
        <w:t xml:space="preserve">MS could make use of different Rx algorithms depending on the state of the flag. Typically one could apply IQ accumulation over bursts where the channel propagation can be considered stationary, but then apply soft combining between accumulated bursts where the channel is expected to significantly change. </w:t>
      </w:r>
    </w:p>
    <w:p w:rsidR="008F77D9" w:rsidRDefault="008F77D9" w:rsidP="00C81C32">
      <w:pPr>
        <w:pStyle w:val="BodyText"/>
        <w:rPr>
          <w:lang w:eastAsia="ko-KR"/>
        </w:rPr>
      </w:pPr>
      <w:r>
        <w:rPr>
          <w:lang w:eastAsia="ko-KR"/>
        </w:rPr>
        <w:t>CC4 performance is investigated below where IQ accumulation would be done over the four bursts of a TDMA frame (“IQ4”) where even in case of ideal FH, the channel propagation can be considered stationary since the frequency hopping is applied between the TDMA frames.</w:t>
      </w:r>
    </w:p>
    <w:p w:rsidR="008F77D9" w:rsidRPr="00C81C32" w:rsidRDefault="008F77D9" w:rsidP="00C81C32">
      <w:pPr>
        <w:pStyle w:val="BodyText"/>
        <w:rPr>
          <w:lang w:eastAsia="ko-KR"/>
        </w:rPr>
      </w:pPr>
      <w:r>
        <w:rPr>
          <w:lang w:eastAsia="ko-KR"/>
        </w:rPr>
        <w:t>Alternatively the MS could apply IQ accumulation over all bursts. For EC-PDTCH/D this is done over at most 16 bursts (“IQ16”) since the block consists of four different bursts, while for EC-PACCH/D this can be done over all 64 bursts transmitted (“IQ64”) since the block consists of a single burst.</w:t>
      </w:r>
    </w:p>
    <w:p w:rsidR="004F41B6" w:rsidRDefault="004F41B6" w:rsidP="004F41B6">
      <w:pPr>
        <w:pStyle w:val="Heading3"/>
      </w:pPr>
      <w:r>
        <w:lastRenderedPageBreak/>
        <w:t>EC-PDTCH</w:t>
      </w:r>
    </w:p>
    <w:p w:rsidR="008F77D9" w:rsidRPr="008F77D9" w:rsidRDefault="008F77D9" w:rsidP="008F77D9">
      <w:pPr>
        <w:pStyle w:val="BodyText"/>
        <w:rPr>
          <w:lang w:eastAsia="ko-KR"/>
        </w:rPr>
      </w:pPr>
      <w:r>
        <w:rPr>
          <w:lang w:eastAsia="ko-KR"/>
        </w:rPr>
        <w:t xml:space="preserve">As can be seen, the performance for EC-PDTCH/D is improved significantly by ‘ideal FH’ reaching roughly the same performance for ‘IQ4’ and ‘IQ16’. This basically implies that the loss in coherency is compensated for by an increase in diversity. For cyclic frequency hopping, the </w:t>
      </w:r>
      <w:r w:rsidR="00011B42">
        <w:rPr>
          <w:lang w:eastAsia="ko-KR"/>
        </w:rPr>
        <w:t>added diversity is “only” one additional propagation channel, and here the loss in coherency is more evident, not reaching the same performance as ‘no FH’. More importantly for the discussion on the use of the broadcasted parameter TX_DIVERSITY, it seems the performance is best by using all IQ accumulation in all cases, except for the ideal FH case where a slight degradation is observed.</w:t>
      </w:r>
    </w:p>
    <w:p w:rsidR="004F41B6" w:rsidRPr="004F41B6" w:rsidRDefault="00DD0686" w:rsidP="004F41B6">
      <w:pPr>
        <w:pStyle w:val="BodyText"/>
        <w:jc w:val="center"/>
        <w:rPr>
          <w:lang w:eastAsia="ko-KR"/>
        </w:rPr>
      </w:pPr>
      <w:r>
        <w:rPr>
          <w:noProof/>
        </w:rPr>
        <w:drawing>
          <wp:inline distT="0" distB="0" distL="0" distR="0" wp14:anchorId="4C4ACC37" wp14:editId="6C894833">
            <wp:extent cx="4480374" cy="2988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PDTCH_D_Tx_div.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4F41B6" w:rsidRPr="004F41B6" w:rsidRDefault="004F41B6" w:rsidP="004F41B6">
      <w:pPr>
        <w:pStyle w:val="Caption"/>
        <w:rPr>
          <w:lang w:eastAsia="ko-KR"/>
        </w:rPr>
      </w:pPr>
      <w:r>
        <w:t xml:space="preserve">Figure </w:t>
      </w:r>
      <w:r w:rsidR="0090554B">
        <w:fldChar w:fldCharType="begin"/>
      </w:r>
      <w:r w:rsidR="0090554B">
        <w:instrText xml:space="preserve"> SEQ Figure \* ARABIC </w:instrText>
      </w:r>
      <w:r w:rsidR="0090554B">
        <w:fldChar w:fldCharType="separate"/>
      </w:r>
      <w:r>
        <w:rPr>
          <w:noProof/>
        </w:rPr>
        <w:t>8</w:t>
      </w:r>
      <w:r w:rsidR="0090554B">
        <w:rPr>
          <w:noProof/>
        </w:rPr>
        <w:fldChar w:fldCharType="end"/>
      </w:r>
      <w:r>
        <w:t>: EC-PDTCH/D performance in different channel propagation conditions</w:t>
      </w:r>
    </w:p>
    <w:p w:rsidR="004F41B6" w:rsidRDefault="004F41B6" w:rsidP="004F41B6">
      <w:pPr>
        <w:pStyle w:val="Heading3"/>
      </w:pPr>
      <w:r>
        <w:t>EC-PACCH</w:t>
      </w:r>
    </w:p>
    <w:p w:rsidR="00011B42" w:rsidRPr="00011B42" w:rsidRDefault="00011B42" w:rsidP="00011B42">
      <w:pPr>
        <w:pStyle w:val="BodyText"/>
        <w:rPr>
          <w:lang w:eastAsia="ko-KR"/>
        </w:rPr>
      </w:pPr>
      <w:r>
        <w:rPr>
          <w:lang w:eastAsia="ko-KR"/>
        </w:rPr>
        <w:t>Investigating the same performance for EC-PACCH/D the same trend is seen, but here it can be concluded that using IQ accumulation over all bursts, is always superior. Hence, the MS would not have additional use of the TX_DIVERSITY flag being broadcasted.</w:t>
      </w:r>
    </w:p>
    <w:p w:rsidR="004F41B6" w:rsidRPr="004F41B6" w:rsidRDefault="00DD0686" w:rsidP="004F41B6">
      <w:pPr>
        <w:pStyle w:val="BodyText"/>
        <w:jc w:val="center"/>
        <w:rPr>
          <w:lang w:eastAsia="ko-KR"/>
        </w:rPr>
      </w:pPr>
      <w:r>
        <w:rPr>
          <w:noProof/>
        </w:rPr>
        <w:lastRenderedPageBreak/>
        <w:drawing>
          <wp:inline distT="0" distB="0" distL="0" distR="0" wp14:anchorId="69A3ADC8" wp14:editId="474EC904">
            <wp:extent cx="4480374" cy="298800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EC_PACCH_D_Tx_div.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4F41B6" w:rsidRPr="004F41B6" w:rsidRDefault="004F41B6" w:rsidP="004F41B6">
      <w:pPr>
        <w:pStyle w:val="Caption"/>
        <w:rPr>
          <w:lang w:eastAsia="ko-KR"/>
        </w:rPr>
      </w:pPr>
      <w:r>
        <w:t xml:space="preserve">Figure </w:t>
      </w:r>
      <w:r w:rsidR="0090554B">
        <w:fldChar w:fldCharType="begin"/>
      </w:r>
      <w:r w:rsidR="0090554B">
        <w:instrText xml:space="preserve"> SEQ Figure \* ARABIC </w:instrText>
      </w:r>
      <w:r w:rsidR="0090554B">
        <w:fldChar w:fldCharType="separate"/>
      </w:r>
      <w:r>
        <w:rPr>
          <w:noProof/>
        </w:rPr>
        <w:t>9</w:t>
      </w:r>
      <w:r w:rsidR="0090554B">
        <w:rPr>
          <w:noProof/>
        </w:rPr>
        <w:fldChar w:fldCharType="end"/>
      </w:r>
      <w:r>
        <w:t>: EC-PACCH/D performance in different channel propagation conditions</w:t>
      </w:r>
    </w:p>
    <w:p w:rsidR="00951113" w:rsidRDefault="00951113" w:rsidP="00951113">
      <w:pPr>
        <w:pStyle w:val="Heading1"/>
      </w:pPr>
      <w:r>
        <w:t>Conclusion</w:t>
      </w:r>
    </w:p>
    <w:p w:rsidR="00951113" w:rsidRDefault="00955082" w:rsidP="00FD7E43">
      <w:pPr>
        <w:pStyle w:val="BodyText"/>
      </w:pPr>
      <w:r>
        <w:t>The document has investigated the possible problem with no knowing the state of the TX_DIVERSITY flag broadcast in EC SI for activities performed prior to acquiring it (signal level measurements, EC-SCH and EC-BCCH decoding performance). It is concluded that performance is superior or acceptable when using TX-diversity and the MS assuming no diversity is used.</w:t>
      </w:r>
    </w:p>
    <w:p w:rsidR="00955082" w:rsidRDefault="00955082" w:rsidP="00FD7E43">
      <w:pPr>
        <w:pStyle w:val="BodyText"/>
      </w:pPr>
      <w:r>
        <w:t>More of interest is the investigation of EC-PDTCH and EC-PACCH performance where it has been shown that the MS could use full IQ accumulation irrespective of the flag state, and still achieve better performance in almost all scenarios investigated.</w:t>
      </w:r>
    </w:p>
    <w:p w:rsidR="00955082" w:rsidRDefault="00955082" w:rsidP="00FD7E43">
      <w:pPr>
        <w:pStyle w:val="BodyText"/>
      </w:pPr>
      <w:r>
        <w:t xml:space="preserve">It is hence proposed to exclude TX_DIVERSITY from EC SI. This has little impact on the core spec 44.018, where the parameter would simply be removed from EC SI. More positive impact would be seen to 45.005 where </w:t>
      </w:r>
      <w:r w:rsidR="00B54348">
        <w:t>requirement on TU1.2iFH can be removed for logical channels EC-SCH, EC-BCCH and EC-CCCH/D.</w:t>
      </w:r>
    </w:p>
    <w:p w:rsidR="00FD7E43" w:rsidRPr="00951113" w:rsidRDefault="00FD7E43" w:rsidP="00FD7E43">
      <w:pPr>
        <w:pStyle w:val="BodyText"/>
      </w:pPr>
      <w:r>
        <w:t xml:space="preserve">This conclusion has been taken as a basis for drafting CRs to the GERAN#70 meeting in </w:t>
      </w:r>
      <w:r w:rsidR="008E175D">
        <w:fldChar w:fldCharType="begin"/>
      </w:r>
      <w:r w:rsidR="008E175D">
        <w:instrText xml:space="preserve"> REF _Ref451293792 \r \h </w:instrText>
      </w:r>
      <w:r w:rsidR="008E175D">
        <w:fldChar w:fldCharType="separate"/>
      </w:r>
      <w:r w:rsidR="008E175D">
        <w:t>[2]</w:t>
      </w:r>
      <w:r w:rsidR="008E175D">
        <w:fldChar w:fldCharType="end"/>
      </w:r>
      <w:r>
        <w:t>.</w:t>
      </w:r>
    </w:p>
    <w:p w:rsidR="00951113" w:rsidRDefault="00CC2FB6" w:rsidP="00CC2FB6">
      <w:pPr>
        <w:pStyle w:val="Heading1"/>
      </w:pPr>
      <w:r>
        <w:t>References</w:t>
      </w:r>
    </w:p>
    <w:bookmarkStart w:id="5" w:name="_Ref450468134"/>
    <w:p w:rsidR="00CC2FB6" w:rsidRDefault="005F58E5" w:rsidP="00CC2FB6">
      <w:pPr>
        <w:pStyle w:val="Reference"/>
      </w:pPr>
      <w:r>
        <w:fldChar w:fldCharType="begin"/>
      </w:r>
      <w:r>
        <w:instrText xml:space="preserve"> HYPERLINK "ftp://www.3gpp.org/tsg_geran/TSG_GERAN/GERAN_69_Malta/Docs/GP-160033.zip" </w:instrText>
      </w:r>
      <w:r>
        <w:fldChar w:fldCharType="separate"/>
      </w:r>
      <w:r>
        <w:rPr>
          <w:rStyle w:val="Hyperlink"/>
        </w:rPr>
        <w:t>GP-160033</w:t>
      </w:r>
      <w:r>
        <w:fldChar w:fldCharType="end"/>
      </w:r>
      <w:r>
        <w:t xml:space="preserve">, </w:t>
      </w:r>
      <w:r w:rsidR="00CC2FB6">
        <w:t>Received signal level measurements for EC-EGPRS (update of GP-151135)</w:t>
      </w:r>
      <w:r>
        <w:t>, source Ericsson LM. GERAN#69</w:t>
      </w:r>
      <w:bookmarkEnd w:id="5"/>
    </w:p>
    <w:bookmarkStart w:id="6" w:name="_Ref451293792"/>
    <w:p w:rsidR="008E175D" w:rsidRPr="00CC2FB6" w:rsidRDefault="008E175D" w:rsidP="008E175D">
      <w:pPr>
        <w:pStyle w:val="Reference"/>
      </w:pPr>
      <w:r>
        <w:fldChar w:fldCharType="begin"/>
      </w:r>
      <w:r>
        <w:instrText xml:space="preserve"> HYPERLINK "ftp://www.3gpp.org/tsg_geran/TSG_GERAN/GERAN_70_Nanjing/Docs/GP-160281.zip" </w:instrText>
      </w:r>
      <w:r>
        <w:fldChar w:fldCharType="separate"/>
      </w:r>
      <w:r>
        <w:rPr>
          <w:rStyle w:val="Hyperlink"/>
        </w:rPr>
        <w:t>GP-160281</w:t>
      </w:r>
      <w:r>
        <w:fldChar w:fldCharType="end"/>
      </w:r>
      <w:r>
        <w:t>, “</w:t>
      </w:r>
      <w:r w:rsidRPr="008E175D">
        <w:t>CR 45.005-0578 rev 6 Introduction of EC-GSM-IoT (Rel-13)</w:t>
      </w:r>
      <w:r>
        <w:t>”, source Ericsson LM. GERAN#70</w:t>
      </w:r>
      <w:bookmarkEnd w:id="6"/>
    </w:p>
    <w:sectPr w:rsidR="008E175D" w:rsidRPr="00CC2FB6" w:rsidSect="002D4FA5">
      <w:headerReference w:type="default" r:id="rId19"/>
      <w:footerReference w:type="default" r:id="rId20"/>
      <w:headerReference w:type="first" r:id="rId21"/>
      <w:footerReference w:type="first" r:id="rId2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6C5" w:rsidRDefault="003206C5">
      <w:r>
        <w:separator/>
      </w:r>
    </w:p>
  </w:endnote>
  <w:endnote w:type="continuationSeparator" w:id="0">
    <w:p w:rsidR="003206C5" w:rsidRDefault="0032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Default="00F6088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32BCE">
      <w:rPr>
        <w:rStyle w:val="PageNumber"/>
        <w:noProof/>
      </w:rPr>
      <w:t>8</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BCE">
      <w:rPr>
        <w:rStyle w:val="PageNumber"/>
        <w:noProof/>
      </w:rPr>
      <w:t>8</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Default="00F60888">
    <w:pPr>
      <w:pStyle w:val="Footer"/>
      <w:jc w:val="center"/>
    </w:pPr>
    <w:r>
      <w:rPr>
        <w:rStyle w:val="PageNumber"/>
      </w:rPr>
      <w:fldChar w:fldCharType="begin"/>
    </w:r>
    <w:r>
      <w:rPr>
        <w:rStyle w:val="PageNumber"/>
      </w:rPr>
      <w:instrText xml:space="preserve"> PAGE </w:instrText>
    </w:r>
    <w:r>
      <w:rPr>
        <w:rStyle w:val="PageNumber"/>
      </w:rPr>
      <w:fldChar w:fldCharType="separate"/>
    </w:r>
    <w:r w:rsidR="00932BC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BCE">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6C5" w:rsidRDefault="003206C5">
      <w:r>
        <w:separator/>
      </w:r>
    </w:p>
  </w:footnote>
  <w:footnote w:type="continuationSeparator" w:id="0">
    <w:p w:rsidR="003206C5" w:rsidRDefault="00320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Default="00F60888" w:rsidP="00EA60C1">
    <w:pPr>
      <w:pStyle w:val="Header"/>
      <w:rPr>
        <w:lang w:val="sv-SE"/>
      </w:rPr>
    </w:pPr>
    <w:r>
      <w:rPr>
        <w:lang w:val="sv-SE"/>
      </w:rPr>
      <w:t>3GPP TSG GERAN#69</w:t>
    </w:r>
    <w:r>
      <w:rPr>
        <w:lang w:val="sv-SE"/>
      </w:rPr>
      <w:tab/>
    </w:r>
    <w:r>
      <w:rPr>
        <w:lang w:val="sv-SE"/>
      </w:rPr>
      <w:tab/>
      <w:t>Tdoc GP-</w:t>
    </w:r>
    <w:r w:rsidRPr="00C10655">
      <w:rPr>
        <w:highlight w:val="yellow"/>
        <w:lang w:val="sv-SE"/>
      </w:rPr>
      <w:t>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888" w:rsidRPr="00026AAB" w:rsidRDefault="00F60888" w:rsidP="0015360B">
    <w:pPr>
      <w:pStyle w:val="Header"/>
      <w:spacing w:after="0"/>
      <w:rPr>
        <w:lang w:val="sv-SE"/>
      </w:rPr>
    </w:pPr>
    <w:r w:rsidRPr="00026AAB">
      <w:rPr>
        <w:lang w:val="sv-SE"/>
      </w:rPr>
      <w:t>3GPP TSG GERAN#70</w:t>
    </w:r>
    <w:r w:rsidRPr="00026AAB">
      <w:rPr>
        <w:lang w:val="sv-SE"/>
      </w:rPr>
      <w:tab/>
    </w:r>
    <w:r w:rsidRPr="00026AAB">
      <w:rPr>
        <w:lang w:val="sv-SE"/>
      </w:rPr>
      <w:tab/>
      <w:t>Tdoc GP-160</w:t>
    </w:r>
    <w:r w:rsidR="004B10D9">
      <w:rPr>
        <w:lang w:val="sv-SE"/>
      </w:rPr>
      <w:t>276</w:t>
    </w:r>
  </w:p>
  <w:p w:rsidR="00F60888" w:rsidRPr="00026AAB" w:rsidRDefault="00F60888" w:rsidP="0015360B">
    <w:pPr>
      <w:pStyle w:val="Header"/>
      <w:spacing w:after="0"/>
      <w:rPr>
        <w:lang w:val="it-IT"/>
      </w:rPr>
    </w:pPr>
    <w:r w:rsidRPr="00026AAB">
      <w:rPr>
        <w:lang w:val="it-IT"/>
      </w:rPr>
      <w:t>Nanjing, P.R. China</w:t>
    </w:r>
    <w:r w:rsidRPr="00026AAB">
      <w:rPr>
        <w:lang w:val="it-IT"/>
      </w:rPr>
      <w:tab/>
    </w:r>
    <w:r w:rsidRPr="00026AAB">
      <w:rPr>
        <w:lang w:val="it-IT"/>
      </w:rPr>
      <w:tab/>
      <w:t xml:space="preserve">Agenda item </w:t>
    </w:r>
    <w:r w:rsidR="004B10D9">
      <w:rPr>
        <w:lang w:val="it-IT"/>
      </w:rPr>
      <w:t>7.</w:t>
    </w:r>
    <w:r w:rsidR="00932BCE">
      <w:rPr>
        <w:lang w:val="it-IT"/>
      </w:rPr>
      <w:t>1.5.1.2</w:t>
    </w:r>
  </w:p>
  <w:p w:rsidR="00F60888" w:rsidRPr="00264773" w:rsidRDefault="00F60888" w:rsidP="0015360B">
    <w:pPr>
      <w:pStyle w:val="Header"/>
      <w:spacing w:after="0"/>
      <w:rPr>
        <w:snapToGrid w:val="0"/>
      </w:rPr>
    </w:pPr>
    <w:r w:rsidRPr="00026AAB">
      <w:t>23</w:t>
    </w:r>
    <w:r w:rsidRPr="00026AAB">
      <w:rPr>
        <w:vertAlign w:val="superscript"/>
      </w:rPr>
      <w:t xml:space="preserve">rd </w:t>
    </w:r>
    <w:r w:rsidRPr="00026AAB">
      <w:t>– 26</w:t>
    </w:r>
    <w:r w:rsidRPr="00026AAB">
      <w:rPr>
        <w:vertAlign w:val="superscript"/>
      </w:rPr>
      <w:t>th</w:t>
    </w:r>
    <w:r>
      <w:t xml:space="preserve"> May</w:t>
    </w:r>
    <w:r w:rsidRPr="00264773">
      <w:t xml:space="preserve">, </w:t>
    </w:r>
    <w:r>
      <w:t>2016</w:t>
    </w:r>
    <w:r w:rsidRPr="00264773">
      <w:br/>
    </w:r>
    <w:bookmarkStart w:id="8" w:name="_Ref515183447"/>
    <w:bookmarkEnd w:id="8"/>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48B513B"/>
    <w:multiLevelType w:val="hybridMultilevel"/>
    <w:tmpl w:val="FBC20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6"/>
  </w:num>
  <w:num w:numId="8">
    <w:abstractNumId w:val="10"/>
  </w:num>
  <w:num w:numId="9">
    <w:abstractNumId w:val="14"/>
  </w:num>
  <w:num w:numId="10">
    <w:abstractNumId w:val="18"/>
  </w:num>
  <w:num w:numId="11">
    <w:abstractNumId w:val="8"/>
  </w:num>
  <w:num w:numId="12">
    <w:abstractNumId w:val="7"/>
  </w:num>
  <w:num w:numId="13">
    <w:abstractNumId w:val="0"/>
  </w:num>
  <w:num w:numId="14">
    <w:abstractNumId w:val="19"/>
  </w:num>
  <w:num w:numId="15">
    <w:abstractNumId w:val="16"/>
  </w:num>
  <w:num w:numId="16">
    <w:abstractNumId w:val="15"/>
  </w:num>
  <w:num w:numId="17">
    <w:abstractNumId w:val="9"/>
  </w:num>
  <w:num w:numId="18">
    <w:abstractNumId w:val="17"/>
  </w:num>
  <w:num w:numId="19">
    <w:abstractNumId w:val="11"/>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078"/>
    <w:rsid w:val="0000723E"/>
    <w:rsid w:val="00007639"/>
    <w:rsid w:val="00007A29"/>
    <w:rsid w:val="00007E3C"/>
    <w:rsid w:val="00007FB7"/>
    <w:rsid w:val="00010AB5"/>
    <w:rsid w:val="0001175D"/>
    <w:rsid w:val="00011B42"/>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AAB"/>
    <w:rsid w:val="00026F40"/>
    <w:rsid w:val="0002751E"/>
    <w:rsid w:val="00030F64"/>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0EA"/>
    <w:rsid w:val="0009496E"/>
    <w:rsid w:val="000965D4"/>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5A27"/>
    <w:rsid w:val="000E7150"/>
    <w:rsid w:val="000E7410"/>
    <w:rsid w:val="000E7B3A"/>
    <w:rsid w:val="000F28EE"/>
    <w:rsid w:val="000F4D16"/>
    <w:rsid w:val="000F56BC"/>
    <w:rsid w:val="000F57C1"/>
    <w:rsid w:val="000F58A6"/>
    <w:rsid w:val="000F788A"/>
    <w:rsid w:val="00100EDF"/>
    <w:rsid w:val="00101EDB"/>
    <w:rsid w:val="0010266B"/>
    <w:rsid w:val="00102A08"/>
    <w:rsid w:val="001038AA"/>
    <w:rsid w:val="001043EF"/>
    <w:rsid w:val="0010477A"/>
    <w:rsid w:val="00104E41"/>
    <w:rsid w:val="00105050"/>
    <w:rsid w:val="00105E9B"/>
    <w:rsid w:val="00106AF0"/>
    <w:rsid w:val="00106DC4"/>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2C7"/>
    <w:rsid w:val="00155385"/>
    <w:rsid w:val="001561D6"/>
    <w:rsid w:val="00157ED0"/>
    <w:rsid w:val="00157F3D"/>
    <w:rsid w:val="00162633"/>
    <w:rsid w:val="00163CAC"/>
    <w:rsid w:val="00163E27"/>
    <w:rsid w:val="001648B6"/>
    <w:rsid w:val="00164B61"/>
    <w:rsid w:val="00164E81"/>
    <w:rsid w:val="00164FE3"/>
    <w:rsid w:val="001650C3"/>
    <w:rsid w:val="00166ECF"/>
    <w:rsid w:val="001716BD"/>
    <w:rsid w:val="0017195E"/>
    <w:rsid w:val="00171E47"/>
    <w:rsid w:val="00172562"/>
    <w:rsid w:val="001726B0"/>
    <w:rsid w:val="00173B04"/>
    <w:rsid w:val="00173BF5"/>
    <w:rsid w:val="00174A53"/>
    <w:rsid w:val="00175723"/>
    <w:rsid w:val="00175A90"/>
    <w:rsid w:val="00176DD7"/>
    <w:rsid w:val="00177B39"/>
    <w:rsid w:val="0018198B"/>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E65CC"/>
    <w:rsid w:val="001F00FD"/>
    <w:rsid w:val="001F19DA"/>
    <w:rsid w:val="001F26F0"/>
    <w:rsid w:val="001F3C8B"/>
    <w:rsid w:val="001F4175"/>
    <w:rsid w:val="001F4591"/>
    <w:rsid w:val="001F57DC"/>
    <w:rsid w:val="001F5CA6"/>
    <w:rsid w:val="001F5CEA"/>
    <w:rsid w:val="001F63D4"/>
    <w:rsid w:val="001F7512"/>
    <w:rsid w:val="001F7CCA"/>
    <w:rsid w:val="00200091"/>
    <w:rsid w:val="002017AC"/>
    <w:rsid w:val="002018F7"/>
    <w:rsid w:val="00201A32"/>
    <w:rsid w:val="0020296E"/>
    <w:rsid w:val="002039AF"/>
    <w:rsid w:val="00205FC8"/>
    <w:rsid w:val="00206165"/>
    <w:rsid w:val="002062FE"/>
    <w:rsid w:val="0020665C"/>
    <w:rsid w:val="00206B48"/>
    <w:rsid w:val="0020716D"/>
    <w:rsid w:val="00211DCC"/>
    <w:rsid w:val="00212200"/>
    <w:rsid w:val="00214891"/>
    <w:rsid w:val="00214B5C"/>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5D7"/>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7AD"/>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23D"/>
    <w:rsid w:val="00275A0A"/>
    <w:rsid w:val="00275B67"/>
    <w:rsid w:val="00276C25"/>
    <w:rsid w:val="0027726F"/>
    <w:rsid w:val="00280D07"/>
    <w:rsid w:val="00282220"/>
    <w:rsid w:val="00282F72"/>
    <w:rsid w:val="00283416"/>
    <w:rsid w:val="00284262"/>
    <w:rsid w:val="00284C25"/>
    <w:rsid w:val="00285F61"/>
    <w:rsid w:val="00285F94"/>
    <w:rsid w:val="002860CF"/>
    <w:rsid w:val="0028621E"/>
    <w:rsid w:val="002923B3"/>
    <w:rsid w:val="002926DA"/>
    <w:rsid w:val="002937E7"/>
    <w:rsid w:val="00293EA6"/>
    <w:rsid w:val="00294A5E"/>
    <w:rsid w:val="00294DF7"/>
    <w:rsid w:val="002958D5"/>
    <w:rsid w:val="002967C3"/>
    <w:rsid w:val="00296BAE"/>
    <w:rsid w:val="00296C13"/>
    <w:rsid w:val="00297B7A"/>
    <w:rsid w:val="002A00C8"/>
    <w:rsid w:val="002A1B11"/>
    <w:rsid w:val="002A21A2"/>
    <w:rsid w:val="002A235E"/>
    <w:rsid w:val="002A2719"/>
    <w:rsid w:val="002A2D05"/>
    <w:rsid w:val="002A428F"/>
    <w:rsid w:val="002A5FEC"/>
    <w:rsid w:val="002B111F"/>
    <w:rsid w:val="002B1B4D"/>
    <w:rsid w:val="002B20B6"/>
    <w:rsid w:val="002B2339"/>
    <w:rsid w:val="002B341F"/>
    <w:rsid w:val="002B46C7"/>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6B22"/>
    <w:rsid w:val="00307D88"/>
    <w:rsid w:val="003107ED"/>
    <w:rsid w:val="003119CA"/>
    <w:rsid w:val="00312FC6"/>
    <w:rsid w:val="003134BB"/>
    <w:rsid w:val="00313A9F"/>
    <w:rsid w:val="00314275"/>
    <w:rsid w:val="00315D93"/>
    <w:rsid w:val="003206C5"/>
    <w:rsid w:val="003232C4"/>
    <w:rsid w:val="00326141"/>
    <w:rsid w:val="00326F52"/>
    <w:rsid w:val="00327449"/>
    <w:rsid w:val="003278F5"/>
    <w:rsid w:val="00330D9F"/>
    <w:rsid w:val="00330F02"/>
    <w:rsid w:val="003325C4"/>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17A"/>
    <w:rsid w:val="003A027F"/>
    <w:rsid w:val="003A0626"/>
    <w:rsid w:val="003A07D5"/>
    <w:rsid w:val="003A26EA"/>
    <w:rsid w:val="003A2B68"/>
    <w:rsid w:val="003A369D"/>
    <w:rsid w:val="003A3E09"/>
    <w:rsid w:val="003A4956"/>
    <w:rsid w:val="003A50A4"/>
    <w:rsid w:val="003B0263"/>
    <w:rsid w:val="003B0625"/>
    <w:rsid w:val="003B0C4D"/>
    <w:rsid w:val="003B1908"/>
    <w:rsid w:val="003B2F9E"/>
    <w:rsid w:val="003B4192"/>
    <w:rsid w:val="003B5A41"/>
    <w:rsid w:val="003C0A46"/>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6347"/>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1F9A"/>
    <w:rsid w:val="004431AE"/>
    <w:rsid w:val="004453BC"/>
    <w:rsid w:val="00445B6A"/>
    <w:rsid w:val="00445B71"/>
    <w:rsid w:val="004460C6"/>
    <w:rsid w:val="00446697"/>
    <w:rsid w:val="00450590"/>
    <w:rsid w:val="004507B0"/>
    <w:rsid w:val="00452147"/>
    <w:rsid w:val="004524A8"/>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0D9"/>
    <w:rsid w:val="004B1554"/>
    <w:rsid w:val="004B164D"/>
    <w:rsid w:val="004B3F1A"/>
    <w:rsid w:val="004B4802"/>
    <w:rsid w:val="004B560E"/>
    <w:rsid w:val="004B63A4"/>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1B6"/>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AF2"/>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C1A"/>
    <w:rsid w:val="00552484"/>
    <w:rsid w:val="00552682"/>
    <w:rsid w:val="00552B26"/>
    <w:rsid w:val="0055641B"/>
    <w:rsid w:val="00557068"/>
    <w:rsid w:val="00557F45"/>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0941"/>
    <w:rsid w:val="00581CB5"/>
    <w:rsid w:val="0058382C"/>
    <w:rsid w:val="00585357"/>
    <w:rsid w:val="00585AAA"/>
    <w:rsid w:val="00585BAB"/>
    <w:rsid w:val="00586422"/>
    <w:rsid w:val="0058663D"/>
    <w:rsid w:val="00587112"/>
    <w:rsid w:val="00591875"/>
    <w:rsid w:val="00592077"/>
    <w:rsid w:val="00592803"/>
    <w:rsid w:val="00592DC7"/>
    <w:rsid w:val="00593A1D"/>
    <w:rsid w:val="00593CAA"/>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149"/>
    <w:rsid w:val="005A747E"/>
    <w:rsid w:val="005B0051"/>
    <w:rsid w:val="005B0E93"/>
    <w:rsid w:val="005B2750"/>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7EAF"/>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8E5"/>
    <w:rsid w:val="006004DA"/>
    <w:rsid w:val="00601C5D"/>
    <w:rsid w:val="00601E50"/>
    <w:rsid w:val="0060466E"/>
    <w:rsid w:val="006052FE"/>
    <w:rsid w:val="00605B74"/>
    <w:rsid w:val="0060708B"/>
    <w:rsid w:val="006072F6"/>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327"/>
    <w:rsid w:val="00623B90"/>
    <w:rsid w:val="006252D2"/>
    <w:rsid w:val="00626035"/>
    <w:rsid w:val="0062607A"/>
    <w:rsid w:val="0062715F"/>
    <w:rsid w:val="00631CB0"/>
    <w:rsid w:val="0063207B"/>
    <w:rsid w:val="006320AD"/>
    <w:rsid w:val="00632172"/>
    <w:rsid w:val="00632DB3"/>
    <w:rsid w:val="006343EE"/>
    <w:rsid w:val="006355FD"/>
    <w:rsid w:val="00635D9D"/>
    <w:rsid w:val="00636A80"/>
    <w:rsid w:val="00636E56"/>
    <w:rsid w:val="00637508"/>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2B9"/>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C85"/>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704"/>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4989"/>
    <w:rsid w:val="006E6D03"/>
    <w:rsid w:val="006E70AC"/>
    <w:rsid w:val="006E75FE"/>
    <w:rsid w:val="006F15EB"/>
    <w:rsid w:val="006F2311"/>
    <w:rsid w:val="006F2647"/>
    <w:rsid w:val="006F2F8B"/>
    <w:rsid w:val="006F327A"/>
    <w:rsid w:val="006F48EF"/>
    <w:rsid w:val="006F513E"/>
    <w:rsid w:val="006F5664"/>
    <w:rsid w:val="006F59CA"/>
    <w:rsid w:val="006F5DB2"/>
    <w:rsid w:val="006F677A"/>
    <w:rsid w:val="006F6F68"/>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2B18"/>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1F8A"/>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752"/>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663"/>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B0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0FA"/>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A21"/>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1DF8"/>
    <w:rsid w:val="0088226C"/>
    <w:rsid w:val="00882F60"/>
    <w:rsid w:val="00883E2E"/>
    <w:rsid w:val="008854EF"/>
    <w:rsid w:val="00886750"/>
    <w:rsid w:val="00887089"/>
    <w:rsid w:val="00890121"/>
    <w:rsid w:val="00890C31"/>
    <w:rsid w:val="00892627"/>
    <w:rsid w:val="00893E33"/>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175D"/>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8F77D9"/>
    <w:rsid w:val="0090406D"/>
    <w:rsid w:val="00904441"/>
    <w:rsid w:val="00904768"/>
    <w:rsid w:val="009053AC"/>
    <w:rsid w:val="0090554B"/>
    <w:rsid w:val="0090592C"/>
    <w:rsid w:val="00905F4B"/>
    <w:rsid w:val="00906EAE"/>
    <w:rsid w:val="00907C0C"/>
    <w:rsid w:val="00910E86"/>
    <w:rsid w:val="009116A4"/>
    <w:rsid w:val="00913893"/>
    <w:rsid w:val="009140A9"/>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4B3"/>
    <w:rsid w:val="00930A45"/>
    <w:rsid w:val="0093176C"/>
    <w:rsid w:val="00932718"/>
    <w:rsid w:val="00932A36"/>
    <w:rsid w:val="00932BCE"/>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216"/>
    <w:rsid w:val="00942C3E"/>
    <w:rsid w:val="00943598"/>
    <w:rsid w:val="00944024"/>
    <w:rsid w:val="00945A81"/>
    <w:rsid w:val="0094661F"/>
    <w:rsid w:val="00947A2C"/>
    <w:rsid w:val="009501EE"/>
    <w:rsid w:val="00951037"/>
    <w:rsid w:val="00951101"/>
    <w:rsid w:val="00951113"/>
    <w:rsid w:val="009526C2"/>
    <w:rsid w:val="0095299F"/>
    <w:rsid w:val="00952A39"/>
    <w:rsid w:val="009544B1"/>
    <w:rsid w:val="00954789"/>
    <w:rsid w:val="00955082"/>
    <w:rsid w:val="00955EEA"/>
    <w:rsid w:val="00957C02"/>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5D7E"/>
    <w:rsid w:val="009B66C8"/>
    <w:rsid w:val="009C0494"/>
    <w:rsid w:val="009C1DCE"/>
    <w:rsid w:val="009C1E35"/>
    <w:rsid w:val="009C2E4E"/>
    <w:rsid w:val="009C3805"/>
    <w:rsid w:val="009C4655"/>
    <w:rsid w:val="009C555F"/>
    <w:rsid w:val="009C58BD"/>
    <w:rsid w:val="009C5A9D"/>
    <w:rsid w:val="009C5F1F"/>
    <w:rsid w:val="009D0310"/>
    <w:rsid w:val="009D0432"/>
    <w:rsid w:val="009D0AFE"/>
    <w:rsid w:val="009D12CA"/>
    <w:rsid w:val="009D410A"/>
    <w:rsid w:val="009D4554"/>
    <w:rsid w:val="009D49F1"/>
    <w:rsid w:val="009D4C56"/>
    <w:rsid w:val="009D548F"/>
    <w:rsid w:val="009D58A9"/>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4983"/>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A92"/>
    <w:rsid w:val="00A53F23"/>
    <w:rsid w:val="00A549F9"/>
    <w:rsid w:val="00A54DAA"/>
    <w:rsid w:val="00A55F52"/>
    <w:rsid w:val="00A57284"/>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B65"/>
    <w:rsid w:val="00AA7F3B"/>
    <w:rsid w:val="00AB1BC5"/>
    <w:rsid w:val="00AB29D4"/>
    <w:rsid w:val="00AB34FB"/>
    <w:rsid w:val="00AB386C"/>
    <w:rsid w:val="00AB3EA7"/>
    <w:rsid w:val="00AB5385"/>
    <w:rsid w:val="00AB5596"/>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7ED"/>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0EE"/>
    <w:rsid w:val="00AF4D5D"/>
    <w:rsid w:val="00AF5525"/>
    <w:rsid w:val="00AF5F92"/>
    <w:rsid w:val="00AF66E6"/>
    <w:rsid w:val="00AF6B5D"/>
    <w:rsid w:val="00AF78C3"/>
    <w:rsid w:val="00B01283"/>
    <w:rsid w:val="00B03CFC"/>
    <w:rsid w:val="00B0447A"/>
    <w:rsid w:val="00B04718"/>
    <w:rsid w:val="00B0665E"/>
    <w:rsid w:val="00B07071"/>
    <w:rsid w:val="00B119E8"/>
    <w:rsid w:val="00B11C1D"/>
    <w:rsid w:val="00B12CED"/>
    <w:rsid w:val="00B13427"/>
    <w:rsid w:val="00B13CF4"/>
    <w:rsid w:val="00B13DF9"/>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ABE"/>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4348"/>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3910"/>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5811"/>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1C32"/>
    <w:rsid w:val="00C822A8"/>
    <w:rsid w:val="00C84CE2"/>
    <w:rsid w:val="00C85CDE"/>
    <w:rsid w:val="00C914DD"/>
    <w:rsid w:val="00C92E08"/>
    <w:rsid w:val="00C97052"/>
    <w:rsid w:val="00CA04BA"/>
    <w:rsid w:val="00CA0EF2"/>
    <w:rsid w:val="00CA1F0F"/>
    <w:rsid w:val="00CA3241"/>
    <w:rsid w:val="00CA32E2"/>
    <w:rsid w:val="00CA3BE0"/>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2FB6"/>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2A23"/>
    <w:rsid w:val="00CE404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16E"/>
    <w:rsid w:val="00D04BA7"/>
    <w:rsid w:val="00D10628"/>
    <w:rsid w:val="00D12991"/>
    <w:rsid w:val="00D1340E"/>
    <w:rsid w:val="00D13983"/>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AB4"/>
    <w:rsid w:val="00D35B90"/>
    <w:rsid w:val="00D3629F"/>
    <w:rsid w:val="00D40159"/>
    <w:rsid w:val="00D404E0"/>
    <w:rsid w:val="00D411FC"/>
    <w:rsid w:val="00D413E3"/>
    <w:rsid w:val="00D41718"/>
    <w:rsid w:val="00D42B7A"/>
    <w:rsid w:val="00D430AB"/>
    <w:rsid w:val="00D43627"/>
    <w:rsid w:val="00D43AAD"/>
    <w:rsid w:val="00D44580"/>
    <w:rsid w:val="00D44D08"/>
    <w:rsid w:val="00D44FE6"/>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0D6F"/>
    <w:rsid w:val="00D71D03"/>
    <w:rsid w:val="00D749FB"/>
    <w:rsid w:val="00D76700"/>
    <w:rsid w:val="00D76E1B"/>
    <w:rsid w:val="00D76ED8"/>
    <w:rsid w:val="00D80D66"/>
    <w:rsid w:val="00D80FC6"/>
    <w:rsid w:val="00D812EF"/>
    <w:rsid w:val="00D81874"/>
    <w:rsid w:val="00D81C11"/>
    <w:rsid w:val="00D8221A"/>
    <w:rsid w:val="00D82A70"/>
    <w:rsid w:val="00D836B3"/>
    <w:rsid w:val="00D83EB6"/>
    <w:rsid w:val="00D85013"/>
    <w:rsid w:val="00D85AE6"/>
    <w:rsid w:val="00D87B61"/>
    <w:rsid w:val="00D87BF6"/>
    <w:rsid w:val="00D91F78"/>
    <w:rsid w:val="00D92959"/>
    <w:rsid w:val="00D93655"/>
    <w:rsid w:val="00D9426A"/>
    <w:rsid w:val="00D9453F"/>
    <w:rsid w:val="00D945A9"/>
    <w:rsid w:val="00DA1147"/>
    <w:rsid w:val="00DA247F"/>
    <w:rsid w:val="00DA2CE6"/>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686"/>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6CDC"/>
    <w:rsid w:val="00DD727A"/>
    <w:rsid w:val="00DD73A4"/>
    <w:rsid w:val="00DD787E"/>
    <w:rsid w:val="00DE0976"/>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EF4"/>
    <w:rsid w:val="00E55185"/>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D9A"/>
    <w:rsid w:val="00EA1FD3"/>
    <w:rsid w:val="00EA296D"/>
    <w:rsid w:val="00EA49B6"/>
    <w:rsid w:val="00EA530D"/>
    <w:rsid w:val="00EA60C1"/>
    <w:rsid w:val="00EA6136"/>
    <w:rsid w:val="00EA6D18"/>
    <w:rsid w:val="00EB022C"/>
    <w:rsid w:val="00EB0467"/>
    <w:rsid w:val="00EB1EF6"/>
    <w:rsid w:val="00EB1F7B"/>
    <w:rsid w:val="00EB37C7"/>
    <w:rsid w:val="00EB390E"/>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2AD4"/>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2658"/>
    <w:rsid w:val="00F03100"/>
    <w:rsid w:val="00F054BB"/>
    <w:rsid w:val="00F054C6"/>
    <w:rsid w:val="00F055E8"/>
    <w:rsid w:val="00F10C91"/>
    <w:rsid w:val="00F1187B"/>
    <w:rsid w:val="00F11DC8"/>
    <w:rsid w:val="00F132AA"/>
    <w:rsid w:val="00F13DEB"/>
    <w:rsid w:val="00F13F2E"/>
    <w:rsid w:val="00F1422F"/>
    <w:rsid w:val="00F146AC"/>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BFA"/>
    <w:rsid w:val="00F4529C"/>
    <w:rsid w:val="00F45A20"/>
    <w:rsid w:val="00F45C9E"/>
    <w:rsid w:val="00F509CC"/>
    <w:rsid w:val="00F50BBD"/>
    <w:rsid w:val="00F50CE4"/>
    <w:rsid w:val="00F50E9C"/>
    <w:rsid w:val="00F5119A"/>
    <w:rsid w:val="00F53566"/>
    <w:rsid w:val="00F53681"/>
    <w:rsid w:val="00F55C5F"/>
    <w:rsid w:val="00F604BD"/>
    <w:rsid w:val="00F60888"/>
    <w:rsid w:val="00F60995"/>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486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23B"/>
    <w:rsid w:val="00F9447E"/>
    <w:rsid w:val="00F948AF"/>
    <w:rsid w:val="00F94A97"/>
    <w:rsid w:val="00F94C31"/>
    <w:rsid w:val="00F94E5C"/>
    <w:rsid w:val="00F94EC7"/>
    <w:rsid w:val="00F951A6"/>
    <w:rsid w:val="00F968C1"/>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BB4"/>
    <w:rsid w:val="00FC341C"/>
    <w:rsid w:val="00FC37A9"/>
    <w:rsid w:val="00FC5CCA"/>
    <w:rsid w:val="00FC65C3"/>
    <w:rsid w:val="00FC65CD"/>
    <w:rsid w:val="00FD1249"/>
    <w:rsid w:val="00FD15B7"/>
    <w:rsid w:val="00FD1EBC"/>
    <w:rsid w:val="00FD3DA8"/>
    <w:rsid w:val="00FD43A5"/>
    <w:rsid w:val="00FD43F7"/>
    <w:rsid w:val="00FD4482"/>
    <w:rsid w:val="00FD509B"/>
    <w:rsid w:val="00FD5350"/>
    <w:rsid w:val="00FD7044"/>
    <w:rsid w:val="00FD7ACA"/>
    <w:rsid w:val="00FD7E43"/>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10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B1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0D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10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B1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0D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EE700-AEE6-4382-8C8D-8528DFBD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8</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11431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cp:revision>
  <cp:lastPrinted>2013-02-08T15:42:00Z</cp:lastPrinted>
  <dcterms:created xsi:type="dcterms:W3CDTF">2016-05-03T14:39:00Z</dcterms:created>
  <dcterms:modified xsi:type="dcterms:W3CDTF">2016-05-17T22:18:00Z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